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BBD1"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bookmarkStart w:id="0" w:name="x__Hlk209537932"/>
      <w:r w:rsidRPr="00A5392D">
        <w:rPr>
          <w:rFonts w:ascii="Times New Roman" w:eastAsia="Times New Roman" w:hAnsi="Times New Roman" w:cs="Times New Roman"/>
          <w:b/>
          <w:bCs/>
          <w:color w:val="242424"/>
          <w:kern w:val="0"/>
          <w:sz w:val="32"/>
          <w:szCs w:val="32"/>
          <w:bdr w:val="none" w:sz="0" w:space="0" w:color="auto" w:frame="1"/>
          <w:lang w:val="en-GB"/>
          <w14:ligatures w14:val="none"/>
        </w:rPr>
        <w:t>WORLD HEALTH ORGANIZATION</w:t>
      </w:r>
      <w:bookmarkEnd w:id="0"/>
    </w:p>
    <w:p w14:paraId="73D12EC5"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 </w:t>
      </w:r>
    </w:p>
    <w:p w14:paraId="3AFC2058"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Information Note : 29/2025</w:t>
      </w:r>
    </w:p>
    <w:p w14:paraId="7571B5A5"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 </w:t>
      </w:r>
    </w:p>
    <w:p w14:paraId="26526771" w14:textId="77777777" w:rsidR="00A5392D" w:rsidRPr="00A5392D" w:rsidRDefault="00A5392D" w:rsidP="00A5392D">
      <w:pPr>
        <w:shd w:val="clear" w:color="auto" w:fill="FFFFFF"/>
        <w:spacing w:after="0" w:line="240" w:lineRule="auto"/>
        <w:ind w:left="1440" w:hanging="1440"/>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Subject: Due diligence and risk assessment review of WHO collaborating centres</w:t>
      </w:r>
    </w:p>
    <w:p w14:paraId="42570E20"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                                    </w:t>
      </w:r>
    </w:p>
    <w:p w14:paraId="20C5C4AF"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Distribution: All WHO Staff Members worldwide</w:t>
      </w:r>
    </w:p>
    <w:p w14:paraId="5E1725FE"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 </w:t>
      </w:r>
    </w:p>
    <w:p w14:paraId="391978DC"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lang w:val="en-GB"/>
          <w14:ligatures w14:val="none"/>
        </w:rPr>
        <w:t>Date: 23 September 2025</w:t>
      </w:r>
    </w:p>
    <w:p w14:paraId="213E65DE"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sz w:val="24"/>
          <w:szCs w:val="24"/>
          <w:bdr w:val="none" w:sz="0" w:space="0" w:color="auto" w:frame="1"/>
          <w14:ligatures w14:val="none"/>
        </w:rPr>
        <w:t> </w:t>
      </w:r>
    </w:p>
    <w:p w14:paraId="71D6B63C"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sz w:val="24"/>
          <w:szCs w:val="24"/>
          <w:bdr w:val="none" w:sz="0" w:space="0" w:color="auto" w:frame="1"/>
          <w:lang w:val="en-GB"/>
          <w14:ligatures w14:val="none"/>
        </w:rPr>
        <w:t> </w:t>
      </w:r>
    </w:p>
    <w:p w14:paraId="551A0BAA"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xml:space="preserve">The purpose of this information note is to inform staff of changes to the procedures for designation and redesignation of WHO collaborating </w:t>
      </w:r>
      <w:proofErr w:type="spellStart"/>
      <w:r w:rsidRPr="00A5392D">
        <w:rPr>
          <w:rFonts w:ascii="Times New Roman" w:eastAsia="Times New Roman" w:hAnsi="Times New Roman" w:cs="Times New Roman"/>
          <w:color w:val="242424"/>
          <w:kern w:val="0"/>
          <w:bdr w:val="none" w:sz="0" w:space="0" w:color="auto" w:frame="1"/>
          <w14:ligatures w14:val="none"/>
        </w:rPr>
        <w:t>centres</w:t>
      </w:r>
      <w:proofErr w:type="spellEnd"/>
      <w:r w:rsidRPr="00A5392D">
        <w:rPr>
          <w:rFonts w:ascii="Times New Roman" w:eastAsia="Times New Roman" w:hAnsi="Times New Roman" w:cs="Times New Roman"/>
          <w:color w:val="242424"/>
          <w:kern w:val="0"/>
          <w:bdr w:val="none" w:sz="0" w:space="0" w:color="auto" w:frame="1"/>
          <w14:ligatures w14:val="none"/>
        </w:rPr>
        <w:t xml:space="preserve"> (WHO CCs). </w:t>
      </w:r>
    </w:p>
    <w:p w14:paraId="633E59F0"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6A0D3C94"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In response to the Director General’s continued encouragements to break silos and enhance operational efficiency, it has been decided that the review of WHO CCs will be operated as part of the FENSA simplified procedure under the responsibility of the FENSA Focal Points, while the Risk Management and Due diligence and Non-State actors’ Unit Due Diligence Unit (DAN) in the department of Ethics, Risk Management and Due diligence (ERD), Science for Health department in the Chief Scientist’s Office and the Office of the Legal Counsel (LEG) will continue to provide recommendations and guidance as requested and needed. The change was motivated by: Bringing the collaboration closer to regions and divisions; Promoting interdepartmental collaboration; Ensuring accountability and technical oversight across WHO; and Optimizing WHO limited resources.</w:t>
      </w:r>
    </w:p>
    <w:p w14:paraId="18D9E54A"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7A3E1475"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Tailored briefing sessions and dedicated guidance sessions for FENSA Focal Points have been conducted by DAN across the Organization and relevant tools and resources have been developed and shared with the participants to carry forward this new task. Further briefing and guidance sessions may be scheduled to ensure a smooth and well-supported transition. </w:t>
      </w:r>
    </w:p>
    <w:p w14:paraId="3AA3BEC5"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xml:space="preserve">The Science for Health Department will work with IMT to adapt the new </w:t>
      </w:r>
      <w:proofErr w:type="spellStart"/>
      <w:r w:rsidRPr="00A5392D">
        <w:rPr>
          <w:rFonts w:ascii="Times New Roman" w:eastAsia="Times New Roman" w:hAnsi="Times New Roman" w:cs="Times New Roman"/>
          <w:color w:val="242424"/>
          <w:kern w:val="0"/>
          <w:bdr w:val="none" w:sz="0" w:space="0" w:color="auto" w:frame="1"/>
          <w14:ligatures w14:val="none"/>
        </w:rPr>
        <w:t>eCC</w:t>
      </w:r>
      <w:proofErr w:type="spellEnd"/>
      <w:r w:rsidRPr="00A5392D">
        <w:rPr>
          <w:rFonts w:ascii="Times New Roman" w:eastAsia="Times New Roman" w:hAnsi="Times New Roman" w:cs="Times New Roman"/>
          <w:color w:val="242424"/>
          <w:kern w:val="0"/>
          <w:bdr w:val="none" w:sz="0" w:space="0" w:color="auto" w:frame="1"/>
          <w14:ligatures w14:val="none"/>
        </w:rPr>
        <w:t xml:space="preserve"> system to allow the technical unit initiating the proposal to select the concerned FENSA Focal Points, and channel the proposals accordingly. </w:t>
      </w:r>
    </w:p>
    <w:p w14:paraId="36DA658E"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7376D831"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For questions related to the due diligence and risk assessment review, please contact the respective FENSA Focal Points in the Division or Regional Office. </w:t>
      </w:r>
    </w:p>
    <w:p w14:paraId="3150C750"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02FB171E"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xml:space="preserve">For questions related to the </w:t>
      </w:r>
      <w:proofErr w:type="spellStart"/>
      <w:r w:rsidRPr="00A5392D">
        <w:rPr>
          <w:rFonts w:ascii="Times New Roman" w:eastAsia="Times New Roman" w:hAnsi="Times New Roman" w:cs="Times New Roman"/>
          <w:color w:val="242424"/>
          <w:kern w:val="0"/>
          <w:bdr w:val="none" w:sz="0" w:space="0" w:color="auto" w:frame="1"/>
          <w14:ligatures w14:val="none"/>
        </w:rPr>
        <w:t>eCC</w:t>
      </w:r>
      <w:proofErr w:type="spellEnd"/>
      <w:r w:rsidRPr="00A5392D">
        <w:rPr>
          <w:rFonts w:ascii="Times New Roman" w:eastAsia="Times New Roman" w:hAnsi="Times New Roman" w:cs="Times New Roman"/>
          <w:color w:val="242424"/>
          <w:kern w:val="0"/>
          <w:bdr w:val="none" w:sz="0" w:space="0" w:color="auto" w:frame="1"/>
          <w14:ligatures w14:val="none"/>
        </w:rPr>
        <w:t xml:space="preserve"> system or WHO CCs policies, contact the Science for Health Department: </w:t>
      </w:r>
      <w:hyperlink r:id="rId4" w:tgtFrame="_blank" w:tooltip="Original URL: https://worldhealthorg.sharepoint.com/sites/OneWHO_HQ_128. Click or tap if you trust this link." w:history="1">
        <w:r w:rsidRPr="00A5392D">
          <w:rPr>
            <w:rFonts w:ascii="Aptos" w:eastAsia="Times New Roman" w:hAnsi="Aptos" w:cs="Times New Roman"/>
            <w:color w:val="467886"/>
            <w:kern w:val="0"/>
            <w:u w:val="single"/>
            <w:bdr w:val="none" w:sz="0" w:space="0" w:color="auto" w:frame="1"/>
            <w14:ligatures w14:val="none"/>
          </w:rPr>
          <w:t xml:space="preserve">WHO Collaborating </w:t>
        </w:r>
        <w:proofErr w:type="spellStart"/>
        <w:r w:rsidRPr="00A5392D">
          <w:rPr>
            <w:rFonts w:ascii="Aptos" w:eastAsia="Times New Roman" w:hAnsi="Aptos" w:cs="Times New Roman"/>
            <w:color w:val="467886"/>
            <w:kern w:val="0"/>
            <w:u w:val="single"/>
            <w:bdr w:val="none" w:sz="0" w:space="0" w:color="auto" w:frame="1"/>
            <w14:ligatures w14:val="none"/>
          </w:rPr>
          <w:t>Centres</w:t>
        </w:r>
        <w:proofErr w:type="spellEnd"/>
        <w:r w:rsidRPr="00A5392D">
          <w:rPr>
            <w:rFonts w:ascii="Aptos" w:eastAsia="Times New Roman" w:hAnsi="Aptos" w:cs="Times New Roman"/>
            <w:color w:val="467886"/>
            <w:kern w:val="0"/>
            <w:u w:val="single"/>
            <w:bdr w:val="none" w:sz="0" w:space="0" w:color="auto" w:frame="1"/>
            <w14:ligatures w14:val="none"/>
          </w:rPr>
          <w:t xml:space="preserve"> - Home</w:t>
        </w:r>
      </w:hyperlink>
      <w:r w:rsidRPr="00A5392D">
        <w:rPr>
          <w:rFonts w:ascii="Times New Roman" w:eastAsia="Times New Roman" w:hAnsi="Times New Roman" w:cs="Times New Roman"/>
          <w:color w:val="242424"/>
          <w:kern w:val="0"/>
          <w:bdr w:val="none" w:sz="0" w:space="0" w:color="auto" w:frame="1"/>
          <w14:ligatures w14:val="none"/>
        </w:rPr>
        <w:t>  </w:t>
      </w:r>
    </w:p>
    <w:p w14:paraId="75B27F36"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bdr w:val="none" w:sz="0" w:space="0" w:color="auto" w:frame="1"/>
          <w14:ligatures w14:val="none"/>
        </w:rPr>
        <w:t> </w:t>
      </w:r>
    </w:p>
    <w:p w14:paraId="5BC725FE"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b/>
          <w:bCs/>
          <w:color w:val="242424"/>
          <w:kern w:val="0"/>
          <w:bdr w:val="none" w:sz="0" w:space="0" w:color="auto" w:frame="1"/>
          <w14:ligatures w14:val="none"/>
        </w:rPr>
        <w:t>Transitional measures</w:t>
      </w:r>
      <w:r w:rsidRPr="00A5392D">
        <w:rPr>
          <w:rFonts w:ascii="Times New Roman" w:eastAsia="Times New Roman" w:hAnsi="Times New Roman" w:cs="Times New Roman"/>
          <w:color w:val="242424"/>
          <w:kern w:val="0"/>
          <w:bdr w:val="none" w:sz="0" w:space="0" w:color="auto" w:frame="1"/>
          <w14:ligatures w14:val="none"/>
        </w:rPr>
        <w:t> </w:t>
      </w:r>
    </w:p>
    <w:p w14:paraId="020956EC"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3B584073"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xml:space="preserve">To accommodate the implementation of the new procedures for any ongoing procedure of redesignation, two months of additional time is granted, as from the date of this information note to finalize the procedure (i.e. to be approved by the concerned ADG or DPM in </w:t>
      </w:r>
      <w:proofErr w:type="spellStart"/>
      <w:r w:rsidRPr="00A5392D">
        <w:rPr>
          <w:rFonts w:ascii="Times New Roman" w:eastAsia="Times New Roman" w:hAnsi="Times New Roman" w:cs="Times New Roman"/>
          <w:color w:val="242424"/>
          <w:kern w:val="0"/>
          <w:bdr w:val="none" w:sz="0" w:space="0" w:color="auto" w:frame="1"/>
          <w14:ligatures w14:val="none"/>
        </w:rPr>
        <w:t>eCC</w:t>
      </w:r>
      <w:proofErr w:type="spellEnd"/>
      <w:r w:rsidRPr="00A5392D">
        <w:rPr>
          <w:rFonts w:ascii="Times New Roman" w:eastAsia="Times New Roman" w:hAnsi="Times New Roman" w:cs="Times New Roman"/>
          <w:color w:val="242424"/>
          <w:kern w:val="0"/>
          <w:bdr w:val="none" w:sz="0" w:space="0" w:color="auto" w:frame="1"/>
          <w14:ligatures w14:val="none"/>
        </w:rPr>
        <w:t xml:space="preserve">). After that deadline, WHO Manual XV.5.5.10 will apply. It should be noted that this is not an extension of the designation as a WHO CC, but just additional time to </w:t>
      </w:r>
      <w:proofErr w:type="spellStart"/>
      <w:r w:rsidRPr="00A5392D">
        <w:rPr>
          <w:rFonts w:ascii="Times New Roman" w:eastAsia="Times New Roman" w:hAnsi="Times New Roman" w:cs="Times New Roman"/>
          <w:color w:val="242424"/>
          <w:kern w:val="0"/>
          <w:bdr w:val="none" w:sz="0" w:space="0" w:color="auto" w:frame="1"/>
          <w14:ligatures w14:val="none"/>
        </w:rPr>
        <w:t>finalise</w:t>
      </w:r>
      <w:proofErr w:type="spellEnd"/>
      <w:r w:rsidRPr="00A5392D">
        <w:rPr>
          <w:rFonts w:ascii="Times New Roman" w:eastAsia="Times New Roman" w:hAnsi="Times New Roman" w:cs="Times New Roman"/>
          <w:color w:val="242424"/>
          <w:kern w:val="0"/>
          <w:bdr w:val="none" w:sz="0" w:space="0" w:color="auto" w:frame="1"/>
          <w14:ligatures w14:val="none"/>
        </w:rPr>
        <w:t xml:space="preserve"> an ongoing procedure. </w:t>
      </w:r>
    </w:p>
    <w:p w14:paraId="43AD55C5"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w:t>
      </w:r>
    </w:p>
    <w:p w14:paraId="6BC036D0"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bdr w:val="none" w:sz="0" w:space="0" w:color="auto" w:frame="1"/>
          <w14:ligatures w14:val="none"/>
        </w:rPr>
        <w:t xml:space="preserve">Until </w:t>
      </w:r>
      <w:proofErr w:type="spellStart"/>
      <w:r w:rsidRPr="00A5392D">
        <w:rPr>
          <w:rFonts w:ascii="Times New Roman" w:eastAsia="Times New Roman" w:hAnsi="Times New Roman" w:cs="Times New Roman"/>
          <w:color w:val="242424"/>
          <w:kern w:val="0"/>
          <w:bdr w:val="none" w:sz="0" w:space="0" w:color="auto" w:frame="1"/>
          <w14:ligatures w14:val="none"/>
        </w:rPr>
        <w:t>eCC</w:t>
      </w:r>
      <w:proofErr w:type="spellEnd"/>
      <w:r w:rsidRPr="00A5392D">
        <w:rPr>
          <w:rFonts w:ascii="Times New Roman" w:eastAsia="Times New Roman" w:hAnsi="Times New Roman" w:cs="Times New Roman"/>
          <w:color w:val="242424"/>
          <w:kern w:val="0"/>
          <w:bdr w:val="none" w:sz="0" w:space="0" w:color="auto" w:frame="1"/>
          <w14:ligatures w14:val="none"/>
        </w:rPr>
        <w:t xml:space="preserve"> is adapted to accommodate the procedure, the Science for Health Department will manually move any proposal for designation and redesignation of WHO CCs to the concerned FENSA Focal </w:t>
      </w:r>
      <w:r w:rsidRPr="00A5392D">
        <w:rPr>
          <w:rFonts w:ascii="Times New Roman" w:eastAsia="Times New Roman" w:hAnsi="Times New Roman" w:cs="Times New Roman"/>
          <w:color w:val="242424"/>
          <w:kern w:val="0"/>
          <w:bdr w:val="none" w:sz="0" w:space="0" w:color="auto" w:frame="1"/>
          <w14:ligatures w14:val="none"/>
        </w:rPr>
        <w:lastRenderedPageBreak/>
        <w:t>Point. </w:t>
      </w:r>
      <w:r w:rsidRPr="00A5392D">
        <w:rPr>
          <w:rFonts w:ascii="Times New Roman" w:eastAsia="Times New Roman" w:hAnsi="Times New Roman" w:cs="Times New Roman"/>
          <w:b/>
          <w:bCs/>
          <w:color w:val="242424"/>
          <w:kern w:val="0"/>
          <w:bdr w:val="none" w:sz="0" w:space="0" w:color="auto" w:frame="1"/>
          <w14:ligatures w14:val="none"/>
        </w:rPr>
        <w:t>Regional Offices and Divisions are requested to indicate the name of the concerned FENSA Focal Points to the Science for Health Department (duchesnec@who.int) without delay.</w:t>
      </w:r>
      <w:r w:rsidRPr="00A5392D">
        <w:rPr>
          <w:rFonts w:ascii="Times New Roman" w:eastAsia="Times New Roman" w:hAnsi="Times New Roman" w:cs="Times New Roman"/>
          <w:color w:val="242424"/>
          <w:kern w:val="0"/>
          <w:bdr w:val="none" w:sz="0" w:space="0" w:color="auto" w:frame="1"/>
          <w14:ligatures w14:val="none"/>
        </w:rPr>
        <w:t> </w:t>
      </w:r>
    </w:p>
    <w:p w14:paraId="4803B802" w14:textId="77777777" w:rsidR="00A5392D" w:rsidRPr="00A5392D" w:rsidRDefault="00A5392D" w:rsidP="00A5392D">
      <w:pPr>
        <w:shd w:val="clear" w:color="auto" w:fill="FFFFFF"/>
        <w:spacing w:after="0" w:line="240" w:lineRule="auto"/>
        <w:rPr>
          <w:rFonts w:ascii="Aptos" w:eastAsia="Times New Roman" w:hAnsi="Aptos" w:cs="Times New Roman"/>
          <w:color w:val="242424"/>
          <w:kern w:val="0"/>
          <w14:ligatures w14:val="none"/>
        </w:rPr>
      </w:pPr>
      <w:r w:rsidRPr="00A5392D">
        <w:rPr>
          <w:rFonts w:ascii="Calibri" w:eastAsia="Times New Roman" w:hAnsi="Calibri" w:cs="Calibri"/>
          <w:color w:val="242424"/>
          <w:kern w:val="0"/>
          <w:bdr w:val="none" w:sz="0" w:space="0" w:color="auto" w:frame="1"/>
          <w14:ligatures w14:val="none"/>
        </w:rPr>
        <w:t> </w:t>
      </w:r>
    </w:p>
    <w:p w14:paraId="51B6F4AD" w14:textId="77777777" w:rsidR="00A5392D" w:rsidRPr="00A5392D" w:rsidRDefault="00A5392D" w:rsidP="00A5392D">
      <w:pPr>
        <w:shd w:val="clear" w:color="auto" w:fill="FFFFFF"/>
        <w:spacing w:after="0" w:line="240" w:lineRule="auto"/>
        <w:jc w:val="center"/>
        <w:rPr>
          <w:rFonts w:ascii="Aptos" w:eastAsia="Times New Roman" w:hAnsi="Aptos" w:cs="Times New Roman"/>
          <w:color w:val="242424"/>
          <w:kern w:val="0"/>
          <w14:ligatures w14:val="none"/>
        </w:rPr>
      </w:pPr>
      <w:r w:rsidRPr="00A5392D">
        <w:rPr>
          <w:rFonts w:ascii="Times New Roman" w:eastAsia="Times New Roman" w:hAnsi="Times New Roman" w:cs="Times New Roman"/>
          <w:color w:val="242424"/>
          <w:kern w:val="0"/>
          <w:sz w:val="24"/>
          <w:szCs w:val="24"/>
          <w:bdr w:val="none" w:sz="0" w:space="0" w:color="auto" w:frame="1"/>
          <w:lang w:val="fr-FR"/>
          <w14:ligatures w14:val="none"/>
        </w:rPr>
        <w:t>*    *    *    *    *</w:t>
      </w:r>
    </w:p>
    <w:p w14:paraId="53492A4D" w14:textId="77777777" w:rsidR="00CA1FBD" w:rsidRDefault="00CA1FBD"/>
    <w:sectPr w:rsidR="00CA1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2D"/>
    <w:rsid w:val="00356B75"/>
    <w:rsid w:val="004A3E47"/>
    <w:rsid w:val="00A5392D"/>
    <w:rsid w:val="00BC1D82"/>
    <w:rsid w:val="00C845E3"/>
    <w:rsid w:val="00CA1D97"/>
    <w:rsid w:val="00CA1FBD"/>
    <w:rsid w:val="00F6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0C0E"/>
  <w15:chartTrackingRefBased/>
  <w15:docId w15:val="{40A085DE-8C7B-4DD1-8721-E22AA4C2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92D"/>
    <w:rPr>
      <w:rFonts w:eastAsiaTheme="majorEastAsia" w:cstheme="majorBidi"/>
      <w:color w:val="272727" w:themeColor="text1" w:themeTint="D8"/>
    </w:rPr>
  </w:style>
  <w:style w:type="paragraph" w:styleId="Title">
    <w:name w:val="Title"/>
    <w:basedOn w:val="Normal"/>
    <w:next w:val="Normal"/>
    <w:link w:val="TitleChar"/>
    <w:uiPriority w:val="10"/>
    <w:qFormat/>
    <w:rsid w:val="00A5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92D"/>
    <w:pPr>
      <w:spacing w:before="160"/>
      <w:jc w:val="center"/>
    </w:pPr>
    <w:rPr>
      <w:i/>
      <w:iCs/>
      <w:color w:val="404040" w:themeColor="text1" w:themeTint="BF"/>
    </w:rPr>
  </w:style>
  <w:style w:type="character" w:customStyle="1" w:styleId="QuoteChar">
    <w:name w:val="Quote Char"/>
    <w:basedOn w:val="DefaultParagraphFont"/>
    <w:link w:val="Quote"/>
    <w:uiPriority w:val="29"/>
    <w:rsid w:val="00A5392D"/>
    <w:rPr>
      <w:i/>
      <w:iCs/>
      <w:color w:val="404040" w:themeColor="text1" w:themeTint="BF"/>
    </w:rPr>
  </w:style>
  <w:style w:type="paragraph" w:styleId="ListParagraph">
    <w:name w:val="List Paragraph"/>
    <w:basedOn w:val="Normal"/>
    <w:uiPriority w:val="34"/>
    <w:qFormat/>
    <w:rsid w:val="00A5392D"/>
    <w:pPr>
      <w:ind w:left="720"/>
      <w:contextualSpacing/>
    </w:pPr>
  </w:style>
  <w:style w:type="character" w:styleId="IntenseEmphasis">
    <w:name w:val="Intense Emphasis"/>
    <w:basedOn w:val="DefaultParagraphFont"/>
    <w:uiPriority w:val="21"/>
    <w:qFormat/>
    <w:rsid w:val="00A5392D"/>
    <w:rPr>
      <w:i/>
      <w:iCs/>
      <w:color w:val="0F4761" w:themeColor="accent1" w:themeShade="BF"/>
    </w:rPr>
  </w:style>
  <w:style w:type="paragraph" w:styleId="IntenseQuote">
    <w:name w:val="Intense Quote"/>
    <w:basedOn w:val="Normal"/>
    <w:next w:val="Normal"/>
    <w:link w:val="IntenseQuoteChar"/>
    <w:uiPriority w:val="30"/>
    <w:qFormat/>
    <w:rsid w:val="00A53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92D"/>
    <w:rPr>
      <w:i/>
      <w:iCs/>
      <w:color w:val="0F4761" w:themeColor="accent1" w:themeShade="BF"/>
    </w:rPr>
  </w:style>
  <w:style w:type="character" w:styleId="IntenseReference">
    <w:name w:val="Intense Reference"/>
    <w:basedOn w:val="DefaultParagraphFont"/>
    <w:uiPriority w:val="32"/>
    <w:qFormat/>
    <w:rsid w:val="00A5392D"/>
    <w:rPr>
      <w:b/>
      <w:bCs/>
      <w:smallCaps/>
      <w:color w:val="0F4761" w:themeColor="accent1" w:themeShade="BF"/>
      <w:spacing w:val="5"/>
    </w:rPr>
  </w:style>
  <w:style w:type="character" w:styleId="Hyperlink">
    <w:name w:val="Hyperlink"/>
    <w:basedOn w:val="DefaultParagraphFont"/>
    <w:uiPriority w:val="99"/>
    <w:unhideWhenUsed/>
    <w:rsid w:val="00A5392D"/>
    <w:rPr>
      <w:color w:val="467886" w:themeColor="hyperlink"/>
      <w:u w:val="single"/>
    </w:rPr>
  </w:style>
  <w:style w:type="character" w:styleId="UnresolvedMention">
    <w:name w:val="Unresolved Mention"/>
    <w:basedOn w:val="DefaultParagraphFont"/>
    <w:uiPriority w:val="99"/>
    <w:semiHidden/>
    <w:unhideWhenUsed/>
    <w:rsid w:val="00A5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601577">
      <w:bodyDiv w:val="1"/>
      <w:marLeft w:val="0"/>
      <w:marRight w:val="0"/>
      <w:marTop w:val="0"/>
      <w:marBottom w:val="0"/>
      <w:divBdr>
        <w:top w:val="none" w:sz="0" w:space="0" w:color="auto"/>
        <w:left w:val="none" w:sz="0" w:space="0" w:color="auto"/>
        <w:bottom w:val="none" w:sz="0" w:space="0" w:color="auto"/>
        <w:right w:val="none" w:sz="0" w:space="0" w:color="auto"/>
      </w:divBdr>
    </w:div>
    <w:div w:id="1938637646">
      <w:bodyDiv w:val="1"/>
      <w:marLeft w:val="0"/>
      <w:marRight w:val="0"/>
      <w:marTop w:val="0"/>
      <w:marBottom w:val="0"/>
      <w:divBdr>
        <w:top w:val="none" w:sz="0" w:space="0" w:color="auto"/>
        <w:left w:val="none" w:sz="0" w:space="0" w:color="auto"/>
        <w:bottom w:val="none" w:sz="0" w:space="0" w:color="auto"/>
        <w:right w:val="none" w:sz="0" w:space="0" w:color="auto"/>
      </w:divBdr>
    </w:div>
    <w:div w:id="19481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https://worldhealthorg.sharepoint.com/sites/OneWHO_HQ_128"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i:0e.t|who staff|duchesnec@who.int,#i:0e.t|who staff|duchesnec@who.int,#duchesnec@who.int,#duchesnec@who.int,#DUCHESNE, Claire,#,#,#</DisplayName>
        <AccountId>194</AccountId>
        <AccountType/>
      </UserInfo>
    </Track_x0020_this_x0020_content>
    <eM_SectionIDs_SC xmlns="c42180c4-457d-4cd2-985a-4d4a2011628f">362;#fe2f8f51-f014-4986-b59c-f91003f71011</eM_SectionIDs_SC>
    <eM_RelCont_Title_SC xmlns="c42180c4-457d-4cd2-985a-4d4a2011628f">Due diligence and risk assessment review of WHO collaborating centres</eM_RelCont_Title_SC>
    <Business_x0020_area xmlns="4d6ed7a4-92f4-44a7-b26a-261450baff90" xsi:nil="true"/>
    <eM_RelContLang_SC xmlns="c42180c4-457d-4cd2-985a-4d4a2011628f">EN</eM_RelContLang_SC>
    <eM_SectionRef_SC xmlns="c42180c4-457d-4cd2-985a-4d4a2011628f">362;#XV.5 Collaborating Centres</eM_SectionRef_SC>
    <eM_RelContCat_SC xmlns="c42180c4-457d-4cd2-985a-4d4a2011628f">21</eM_RelContCat_SC>
    <eM_PolicyIDs_SC xmlns="c42180c4-457d-4cd2-985a-4d4a2011628f" xsi:nil="true"/>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352BD00E-F9E8-46EE-AFDA-342E42E1176D}"/>
</file>

<file path=customXml/itemProps2.xml><?xml version="1.0" encoding="utf-8"?>
<ds:datastoreItem xmlns:ds="http://schemas.openxmlformats.org/officeDocument/2006/customXml" ds:itemID="{AB4658E3-BFE4-47DF-8A86-B2DE10C0C31F}"/>
</file>

<file path=customXml/itemProps3.xml><?xml version="1.0" encoding="utf-8"?>
<ds:datastoreItem xmlns:ds="http://schemas.openxmlformats.org/officeDocument/2006/customXml" ds:itemID="{A670BA2D-5107-4318-9EA4-7DFBF2F0D9CB}"/>
</file>

<file path=customXml/itemProps4.xml><?xml version="1.0" encoding="utf-8"?>
<ds:datastoreItem xmlns:ds="http://schemas.openxmlformats.org/officeDocument/2006/customXml" ds:itemID="{B39A3BE8-899E-49B6-B1A3-3AEEC79BD15E}"/>
</file>

<file path=docProps/app.xml><?xml version="1.0" encoding="utf-8"?>
<Properties xmlns="http://schemas.openxmlformats.org/officeDocument/2006/extended-properties" xmlns:vt="http://schemas.openxmlformats.org/officeDocument/2006/docPropsVTypes">
  <Template>Normal.dotm</Template>
  <TotalTime>6</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DUCHESNE, Claire</dc:creator>
  <cp:keywords/>
  <dc:description/>
  <cp:lastModifiedBy>DUCHESNE, Claire</cp:lastModifiedBy>
  <cp:revision>1</cp:revision>
  <dcterms:created xsi:type="dcterms:W3CDTF">2025-09-25T13:25:00Z</dcterms:created>
  <dcterms:modified xsi:type="dcterms:W3CDTF">2025-09-25T13:31:00Z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